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87" w:rsidRPr="00F553FB" w:rsidRDefault="00327C87" w:rsidP="00327C87">
      <w:pPr>
        <w:jc w:val="both"/>
        <w:rPr>
          <w:rFonts w:ascii="Noto Sans" w:hAnsi="Noto Sans" w:cs="Noto Sans"/>
          <w:color w:val="424242"/>
        </w:rPr>
      </w:pPr>
      <w:r w:rsidRPr="00F553FB">
        <w:rPr>
          <w:rFonts w:ascii="Noto Sans" w:hAnsi="Noto Sans" w:cs="Noto Sans"/>
          <w:color w:val="424242"/>
        </w:rPr>
        <w:t>Hace unos años el juez Emilio Calatayud publicó el libro "Reflexiones de un juez de menores" en el que incluye el "Decálogo para formar un</w:t>
      </w:r>
      <w:r w:rsidRPr="00F553FB">
        <w:rPr>
          <w:rStyle w:val="apple-converted-space"/>
          <w:rFonts w:ascii="Noto Sans" w:hAnsi="Noto Sans" w:cs="Noto Sans"/>
          <w:color w:val="424242"/>
        </w:rPr>
        <w:t> </w:t>
      </w:r>
      <w:r w:rsidRPr="00F553FB">
        <w:rPr>
          <w:rStyle w:val="il"/>
          <w:rFonts w:ascii="Noto Sans" w:hAnsi="Noto Sans" w:cs="Noto Sans"/>
          <w:color w:val="424242"/>
        </w:rPr>
        <w:t>delincuente</w:t>
      </w:r>
      <w:r w:rsidRPr="00F553FB">
        <w:rPr>
          <w:rFonts w:ascii="Noto Sans" w:hAnsi="Noto Sans" w:cs="Noto Sans"/>
          <w:color w:val="424242"/>
        </w:rPr>
        <w:t>" en el que ofrece recomendaciones a los padres para que consientan a sus hijos y logren que el día de mañana puedan llegar a cometer actos delictivos. Cuestiónense qué clase de hijo están formando.</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Derechos.</w:t>
      </w:r>
      <w:r w:rsidRPr="00F553FB">
        <w:rPr>
          <w:rFonts w:ascii="Noto Sans" w:hAnsi="Noto Sans" w:cs="Noto Sans"/>
          <w:color w:val="424242"/>
        </w:rPr>
        <w:t> Comience desde la infancia dando a su hijo todo lo que le pida. Así crecerá convencido de que el mundo entero le pertenece.</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Ética.</w:t>
      </w:r>
      <w:r w:rsidRPr="00F553FB">
        <w:rPr>
          <w:rFonts w:ascii="Noto Sans" w:hAnsi="Noto Sans" w:cs="Noto Sans"/>
          <w:color w:val="424242"/>
        </w:rPr>
        <w:t> No se preocup</w:t>
      </w:r>
      <w:bookmarkStart w:id="0" w:name="_GoBack"/>
      <w:bookmarkEnd w:id="0"/>
      <w:r w:rsidRPr="00F553FB">
        <w:rPr>
          <w:rFonts w:ascii="Noto Sans" w:hAnsi="Noto Sans" w:cs="Noto Sans"/>
          <w:color w:val="424242"/>
        </w:rPr>
        <w:t>e de su educación ética o espiritual. Espere a que alcance la mayoría de edad para que pueda decidir libremente.</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Alabarle todo.</w:t>
      </w:r>
      <w:r w:rsidRPr="00F553FB">
        <w:rPr>
          <w:rFonts w:ascii="Noto Sans" w:hAnsi="Noto Sans" w:cs="Noto Sans"/>
          <w:color w:val="424242"/>
        </w:rPr>
        <w:t> Cuando diga palabrotas, ríase. Esto lo animará a hacer cosas más graciosas.</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Castigos.</w:t>
      </w:r>
      <w:r w:rsidRPr="00F553FB">
        <w:rPr>
          <w:rFonts w:ascii="Noto Sans" w:hAnsi="Noto Sans" w:cs="Noto Sans"/>
          <w:color w:val="424242"/>
        </w:rPr>
        <w:t> No le regañe ni le diga que está mal algo de lo que hace. Podría crearle complejos de culpabilidad.</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Orden.</w:t>
      </w:r>
      <w:r w:rsidRPr="00F553FB">
        <w:rPr>
          <w:rFonts w:ascii="Noto Sans" w:hAnsi="Noto Sans" w:cs="Noto Sans"/>
          <w:color w:val="424242"/>
        </w:rPr>
        <w:t> Recoja todo lo que él deja tirado: libros, zapatos, ropa, juguetes. Así se acostumbrará a cargar la responsabilidad sobre los demás.</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Cultura.</w:t>
      </w:r>
      <w:r w:rsidRPr="00F553FB">
        <w:rPr>
          <w:rFonts w:ascii="Noto Sans" w:hAnsi="Noto Sans" w:cs="Noto Sans"/>
          <w:color w:val="424242"/>
        </w:rPr>
        <w:t> Déjele leer todo lo que caiga en sus manos. Cuide de que sus platos, cubiertos y vasos estén esterilizados, pero no de que su mente se llene de basura.</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Discusiones.</w:t>
      </w:r>
      <w:r w:rsidRPr="00F553FB">
        <w:rPr>
          <w:rFonts w:ascii="Noto Sans" w:hAnsi="Noto Sans" w:cs="Noto Sans"/>
          <w:color w:val="424242"/>
        </w:rPr>
        <w:t> Riña a menudo con su cónyuge en presencia del niño, así a él no le dolerá demasiado el día en que la familia, quizá por su propia conducta, quede destrozada para siempre.</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Dinero.</w:t>
      </w:r>
      <w:r w:rsidRPr="00F553FB">
        <w:rPr>
          <w:rFonts w:ascii="Noto Sans" w:hAnsi="Noto Sans" w:cs="Noto Sans"/>
          <w:color w:val="424242"/>
        </w:rPr>
        <w:t> Dele todo el dinero que quiera gastar. No vaya a sospechar que para disponer del mismo es necesario trabajar.</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Caprichos.</w:t>
      </w:r>
      <w:r w:rsidRPr="00F553FB">
        <w:rPr>
          <w:rFonts w:ascii="Noto Sans" w:hAnsi="Noto Sans" w:cs="Noto Sans"/>
          <w:color w:val="424242"/>
        </w:rPr>
        <w:t> Satisfaga todos sus deseos, caprichos, apetitos, comodidades y placeres. El sacrificio y la austeridad podrían producirle frustraciones.</w:t>
      </w:r>
    </w:p>
    <w:p w:rsidR="00327C87" w:rsidRPr="00F553FB" w:rsidRDefault="00327C87" w:rsidP="00327C87">
      <w:pPr>
        <w:numPr>
          <w:ilvl w:val="0"/>
          <w:numId w:val="1"/>
        </w:numPr>
        <w:spacing w:before="100" w:beforeAutospacing="1" w:after="100" w:afterAutospacing="1"/>
        <w:ind w:left="971"/>
        <w:jc w:val="both"/>
        <w:rPr>
          <w:rFonts w:ascii="Noto Sans" w:hAnsi="Noto Sans" w:cs="Noto Sans"/>
          <w:color w:val="424242"/>
        </w:rPr>
      </w:pPr>
      <w:r w:rsidRPr="00F553FB">
        <w:rPr>
          <w:rStyle w:val="Fett"/>
          <w:rFonts w:ascii="Noto Sans" w:hAnsi="Noto Sans" w:cs="Noto Sans"/>
          <w:color w:val="424242"/>
        </w:rPr>
        <w:t>Defiéndalo.</w:t>
      </w:r>
      <w:r w:rsidRPr="00F553FB">
        <w:rPr>
          <w:rFonts w:ascii="Noto Sans" w:hAnsi="Noto Sans" w:cs="Noto Sans"/>
          <w:color w:val="424242"/>
        </w:rPr>
        <w:t> Póngase de su parte en cualquier conflicto que tenga con sus profesores y vecinos. Piense que todos ellos tienen prejuicios contra su hijo y que de verdad quieren fastidiarlo.</w:t>
      </w:r>
    </w:p>
    <w:p w:rsidR="00AF2F58" w:rsidRPr="00F553FB" w:rsidRDefault="00AF2F58">
      <w:pPr>
        <w:rPr>
          <w:rFonts w:ascii="Noto Sans" w:hAnsi="Noto Sans" w:cs="Noto Sans"/>
        </w:rPr>
      </w:pPr>
    </w:p>
    <w:sectPr w:rsidR="00AF2F58" w:rsidRPr="00F553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20BA9"/>
    <w:multiLevelType w:val="multilevel"/>
    <w:tmpl w:val="0FDA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87"/>
    <w:rsid w:val="00327C87"/>
    <w:rsid w:val="00746408"/>
    <w:rsid w:val="00AF2F58"/>
    <w:rsid w:val="00F55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C0EA2F-AD37-473E-B857-9F8711A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s-ES" w:eastAsia="es-E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pple-converted-space">
    <w:name w:val="apple-converted-space"/>
    <w:basedOn w:val="Absatz-Standardschriftart"/>
    <w:rsid w:val="00327C87"/>
  </w:style>
  <w:style w:type="character" w:customStyle="1" w:styleId="il">
    <w:name w:val="il"/>
    <w:basedOn w:val="Absatz-Standardschriftart"/>
    <w:rsid w:val="00327C87"/>
  </w:style>
  <w:style w:type="character" w:styleId="Fett">
    <w:name w:val="Strong"/>
    <w:basedOn w:val="Absatz-Standardschriftart"/>
    <w:qFormat/>
    <w:rsid w:val="00327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Hace unos años el juez Emilio Calatayud publicó el libro "Reflexiones de un juez de menores" en el que incluye el "Decálogo para formar un delincuente" en el que ofrece recomendaciones a los padres para que consientan a sus hijos y logren que el día de m</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 unos años el juez Emilio Calatayud publicó el libro "Reflexiones de un juez de menores" en el que incluye el "Decálogo para formar un delincuente" en el que ofrece recomendaciones a los padres para que consientan a sus hijos y logren que el día de m</dc:title>
  <dc:subject/>
  <dc:creator>Tere</dc:creator>
  <cp:keywords/>
  <dc:description/>
  <cp:lastModifiedBy>TM Lakes</cp:lastModifiedBy>
  <cp:revision>2</cp:revision>
  <dcterms:created xsi:type="dcterms:W3CDTF">2019-03-12T12:41:00Z</dcterms:created>
  <dcterms:modified xsi:type="dcterms:W3CDTF">2019-03-12T12:41:00Z</dcterms:modified>
</cp:coreProperties>
</file>